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2D7" w:rsidRPr="00221D0E" w:rsidRDefault="00306555" w:rsidP="00A522D7">
      <w:pPr>
        <w:jc w:val="both"/>
        <w:rPr>
          <w:rFonts w:ascii="Arial" w:eastAsia="Times New Roman" w:hAnsi="Arial" w:cs="Arial"/>
          <w:lang w:val="es-MX" w:eastAsia="es-ES"/>
        </w:rPr>
      </w:pPr>
      <w:bookmarkStart w:id="0" w:name="_GoBack"/>
      <w:bookmarkEnd w:id="0"/>
      <w:r>
        <w:rPr>
          <w:rFonts w:ascii="Arial" w:hAnsi="Arial" w:cs="Arial"/>
          <w:b/>
          <w:lang w:val="es-MX"/>
        </w:rPr>
        <w:t>Decreto 54-2022 “Ley del Presupuesto General de Ingresos y Egresos del Estado para el Ejercicio Fiscal 2023, con vigencia para el ejercicio fiscal 2024.</w:t>
      </w:r>
      <w:r w:rsidR="00D42BF6" w:rsidRPr="00221D0E">
        <w:rPr>
          <w:rFonts w:ascii="Arial" w:eastAsia="Times New Roman" w:hAnsi="Arial" w:cs="Arial"/>
          <w:b/>
          <w:lang w:val="es-MX" w:eastAsia="es-ES"/>
        </w:rPr>
        <w:t xml:space="preserve"> </w:t>
      </w:r>
      <w:r w:rsidR="00A522D7" w:rsidRPr="00221D0E">
        <w:rPr>
          <w:rFonts w:ascii="Arial" w:eastAsia="Times New Roman" w:hAnsi="Arial" w:cs="Arial"/>
          <w:b/>
          <w:lang w:val="es-MX" w:eastAsia="es-ES"/>
        </w:rPr>
        <w:t>Artículo 8</w:t>
      </w:r>
      <w:r w:rsidR="000036B3" w:rsidRPr="00221D0E">
        <w:rPr>
          <w:rFonts w:ascii="Arial" w:eastAsia="Times New Roman" w:hAnsi="Arial" w:cs="Arial"/>
          <w:b/>
          <w:lang w:val="es-MX" w:eastAsia="es-ES"/>
        </w:rPr>
        <w:t>8</w:t>
      </w:r>
      <w:r w:rsidR="00A522D7" w:rsidRPr="00221D0E">
        <w:rPr>
          <w:rFonts w:ascii="Arial" w:eastAsia="Times New Roman" w:hAnsi="Arial" w:cs="Arial"/>
          <w:b/>
          <w:lang w:val="es-MX" w:eastAsia="es-ES"/>
        </w:rPr>
        <w:t>.</w:t>
      </w:r>
      <w:r w:rsidR="00A522D7" w:rsidRPr="00221D0E">
        <w:rPr>
          <w:rFonts w:ascii="Arial" w:eastAsia="Times New Roman" w:hAnsi="Arial" w:cs="Arial"/>
          <w:lang w:val="es-MX" w:eastAsia="es-ES"/>
        </w:rPr>
        <w:t xml:space="preserve"> </w:t>
      </w:r>
      <w:r w:rsidR="00A522D7" w:rsidRPr="00221D0E">
        <w:rPr>
          <w:rFonts w:ascii="Arial" w:eastAsia="Times New Roman" w:hAnsi="Arial" w:cs="Arial"/>
          <w:b/>
          <w:lang w:val="es-MX" w:eastAsia="es-ES"/>
        </w:rPr>
        <w:t>Obligaciones de las entidades públicas con relación a los fideicomisos constituidos con recursos del Estado.</w:t>
      </w:r>
      <w:r w:rsidR="00A522D7" w:rsidRPr="00221D0E">
        <w:rPr>
          <w:rFonts w:ascii="Arial" w:eastAsia="Times New Roman" w:hAnsi="Arial" w:cs="Arial"/>
          <w:lang w:val="es-MX" w:eastAsia="es-ES"/>
        </w:rPr>
        <w:t xml:space="preserve"> En adición a las obligaciones contenidas en el contrato de fideicomiso, las entidades responsables de los mismos deberán: </w:t>
      </w:r>
    </w:p>
    <w:p w:rsidR="00A522D7" w:rsidRPr="00221D0E" w:rsidRDefault="00A522D7" w:rsidP="00A522D7">
      <w:pPr>
        <w:jc w:val="both"/>
        <w:rPr>
          <w:rFonts w:ascii="Arial" w:eastAsia="Times New Roman" w:hAnsi="Arial" w:cs="Arial"/>
          <w:lang w:val="es-MX" w:eastAsia="es-ES"/>
        </w:rPr>
      </w:pPr>
    </w:p>
    <w:p w:rsidR="00A522D7" w:rsidRPr="00221D0E" w:rsidRDefault="00A522D7" w:rsidP="00A522D7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Obtener dictamen del Ministerio de Finanzas Públicas, a través de la Dirección de Fideicomisos, previo a constituir, modificar o extinguir los contratos de fideicomiso. </w:t>
      </w:r>
    </w:p>
    <w:p w:rsidR="00A522D7" w:rsidRPr="00221D0E" w:rsidRDefault="00A522D7" w:rsidP="00A522D7">
      <w:pPr>
        <w:pStyle w:val="Prrafodelista"/>
        <w:jc w:val="both"/>
        <w:rPr>
          <w:rFonts w:ascii="Arial" w:eastAsia="Times New Roman" w:hAnsi="Arial" w:cs="Arial"/>
          <w:lang w:val="es-MX" w:eastAsia="es-ES"/>
        </w:rPr>
      </w:pPr>
    </w:p>
    <w:p w:rsidR="00D20ED3" w:rsidRPr="00221D0E" w:rsidRDefault="00A522D7" w:rsidP="00A522D7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Hasta la liquidación del fideicomiso:</w:t>
      </w:r>
    </w:p>
    <w:p w:rsidR="00A522D7" w:rsidRPr="00221D0E" w:rsidRDefault="00A522D7" w:rsidP="00D20ED3">
      <w:pPr>
        <w:jc w:val="both"/>
        <w:rPr>
          <w:rFonts w:ascii="Arial" w:eastAsia="Times New Roman" w:hAnsi="Arial" w:cs="Arial"/>
          <w:lang w:val="es-MX" w:eastAsia="es-ES"/>
        </w:rPr>
      </w:pPr>
    </w:p>
    <w:p w:rsidR="00A522D7" w:rsidRPr="00221D0E" w:rsidRDefault="00A522D7" w:rsidP="00D20ED3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Remitir mensualmente los estados financieros definitivos al Ministerio de Finanzas Públicas, a través de la Dirección de Fideicomisos, al Congreso de la República de Guatemala y a la Contraloría General de Cuentas, por medios informáticos y otros que se establezcan, dentro de los primeros quince (15) días calendario del mes siguiente. </w:t>
      </w:r>
    </w:p>
    <w:p w:rsidR="00D20ED3" w:rsidRPr="00221D0E" w:rsidRDefault="00D20ED3" w:rsidP="00D20ED3">
      <w:pPr>
        <w:pStyle w:val="Prrafodelista"/>
        <w:ind w:left="1440"/>
        <w:jc w:val="both"/>
        <w:rPr>
          <w:rFonts w:ascii="Arial" w:eastAsia="Times New Roman" w:hAnsi="Arial" w:cs="Arial"/>
          <w:lang w:val="es-MX" w:eastAsia="es-ES"/>
        </w:rPr>
      </w:pPr>
    </w:p>
    <w:p w:rsidR="00D20ED3" w:rsidRPr="00221D0E" w:rsidRDefault="00A522D7" w:rsidP="00D20ED3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Requerir al fiduciario y poner a disposición de la Contraloría General de Cuentas, los órganos competentes del Ministerio de Finanzas Públicas y las Unidades de Auditoría Interna de la institución que ejerza la representación del Estado como fideicomitente, la documentación relativa a las operaciones del fideicomiso, cuando dichas instituciones lo soliciten por escrito.</w:t>
      </w:r>
    </w:p>
    <w:p w:rsidR="00A522D7" w:rsidRPr="00221D0E" w:rsidRDefault="00A522D7" w:rsidP="00D20ED3">
      <w:pPr>
        <w:pStyle w:val="Prrafodelista"/>
        <w:ind w:left="1440"/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 </w:t>
      </w:r>
    </w:p>
    <w:p w:rsidR="00D20ED3" w:rsidRPr="00221D0E" w:rsidRDefault="00A522D7" w:rsidP="00D20ED3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Regularizar los bienes que se adquieran con los fondos del fideicomiso, de acuerdo a la normativa vigente.</w:t>
      </w:r>
    </w:p>
    <w:p w:rsidR="00A522D7" w:rsidRPr="00221D0E" w:rsidRDefault="00A522D7" w:rsidP="00D20ED3">
      <w:p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 </w:t>
      </w:r>
    </w:p>
    <w:p w:rsidR="000036B3" w:rsidRPr="00221D0E" w:rsidRDefault="000036B3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Informar trimestralmente al Congreso de la República, Contraloría General de Cuentas y Dirección de Fideicomisos del Ministerio de Finanzas Públicas, la situación de los procesos de extinción y liquidación de los Fideicomisos de primer y segundo grado a su cargo.</w:t>
      </w:r>
    </w:p>
    <w:p w:rsidR="00A522D7" w:rsidRPr="00221D0E" w:rsidRDefault="00A522D7" w:rsidP="00A522D7">
      <w:pPr>
        <w:pStyle w:val="Prrafodelista"/>
        <w:ind w:left="1440"/>
        <w:jc w:val="both"/>
        <w:rPr>
          <w:rFonts w:ascii="Arial" w:eastAsia="Times New Roman" w:hAnsi="Arial" w:cs="Arial"/>
          <w:lang w:val="es-MX" w:eastAsia="es-ES"/>
        </w:rPr>
      </w:pPr>
    </w:p>
    <w:p w:rsidR="00A522D7" w:rsidRPr="00221D0E" w:rsidRDefault="00A522D7" w:rsidP="00A522D7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Cuando los fideicomisos se encuentren vigentes, las entidades responsables deberán,</w:t>
      </w:r>
      <w:r w:rsidR="00DA29AF" w:rsidRPr="00221D0E">
        <w:rPr>
          <w:rFonts w:ascii="Arial" w:eastAsia="Times New Roman" w:hAnsi="Arial" w:cs="Arial"/>
          <w:lang w:val="es-MX" w:eastAsia="es-ES"/>
        </w:rPr>
        <w:t xml:space="preserve"> en</w:t>
      </w:r>
      <w:r w:rsidRPr="00221D0E">
        <w:rPr>
          <w:rFonts w:ascii="Arial" w:eastAsia="Times New Roman" w:hAnsi="Arial" w:cs="Arial"/>
          <w:lang w:val="es-MX" w:eastAsia="es-ES"/>
        </w:rPr>
        <w:t xml:space="preserve"> adición a las disposiciones anteriores: </w:t>
      </w:r>
    </w:p>
    <w:p w:rsidR="00A522D7" w:rsidRPr="00221D0E" w:rsidRDefault="00A522D7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Ejercer el derecho de supervisar o auditar las actividades de los contratos de fideicomiso, de conformidad con lo establecido en los mismos. </w:t>
      </w:r>
    </w:p>
    <w:p w:rsidR="00A522D7" w:rsidRPr="00221D0E" w:rsidRDefault="00A522D7" w:rsidP="00A522D7">
      <w:pPr>
        <w:pStyle w:val="Prrafodelista"/>
        <w:ind w:left="1440"/>
        <w:jc w:val="both"/>
        <w:rPr>
          <w:rFonts w:ascii="Arial" w:eastAsia="Times New Roman" w:hAnsi="Arial" w:cs="Arial"/>
          <w:lang w:val="es-MX" w:eastAsia="es-ES"/>
        </w:rPr>
      </w:pPr>
    </w:p>
    <w:p w:rsidR="00A522D7" w:rsidRPr="00221D0E" w:rsidRDefault="00A522D7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Elaborar informes cuatrimestrales de conformidad con la naturaleza del fideicomiso, utilizando los formatos que establezca el Ministerio de Finanzas Públicas.          </w:t>
      </w:r>
    </w:p>
    <w:p w:rsidR="00A522D7" w:rsidRPr="00221D0E" w:rsidRDefault="00255ED3" w:rsidP="00255ED3">
      <w:pPr>
        <w:tabs>
          <w:tab w:val="left" w:pos="7425"/>
        </w:tabs>
        <w:jc w:val="both"/>
        <w:rPr>
          <w:rFonts w:ascii="Arial" w:eastAsia="Times New Roman" w:hAnsi="Arial" w:cs="Arial"/>
          <w:lang w:val="es-MX" w:eastAsia="es-ES"/>
        </w:rPr>
      </w:pPr>
      <w:r>
        <w:rPr>
          <w:rFonts w:ascii="Arial" w:eastAsia="Times New Roman" w:hAnsi="Arial" w:cs="Arial"/>
          <w:lang w:val="es-MX" w:eastAsia="es-ES"/>
        </w:rPr>
        <w:tab/>
      </w:r>
    </w:p>
    <w:p w:rsidR="00A522D7" w:rsidRPr="00221D0E" w:rsidRDefault="00A522D7" w:rsidP="00DA29AF">
      <w:pPr>
        <w:ind w:left="1416"/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lastRenderedPageBreak/>
        <w:t>Los informes deberán ser enviados en formato físico y electrónico a la Contraloría General de Cuentas, al Congreso de la República de Guatemala y al Ministerio de Finanzas Públicas, p</w:t>
      </w:r>
      <w:r w:rsidR="00DA29AF" w:rsidRPr="00221D0E">
        <w:rPr>
          <w:rFonts w:ascii="Arial" w:eastAsia="Times New Roman" w:hAnsi="Arial" w:cs="Arial"/>
          <w:lang w:val="es-MX" w:eastAsia="es-ES"/>
        </w:rPr>
        <w:t>or conducto de la Dirección de F</w:t>
      </w:r>
      <w:r w:rsidRPr="00221D0E">
        <w:rPr>
          <w:rFonts w:ascii="Arial" w:eastAsia="Times New Roman" w:hAnsi="Arial" w:cs="Arial"/>
          <w:lang w:val="es-MX" w:eastAsia="es-ES"/>
        </w:rPr>
        <w:t>ideicomisos, dentro del mes siguiente al cierre de cada cuatrimestre, y deberán contener como mínimo:</w:t>
      </w:r>
    </w:p>
    <w:p w:rsidR="00A522D7" w:rsidRPr="00221D0E" w:rsidRDefault="00A522D7" w:rsidP="00A522D7">
      <w:pPr>
        <w:jc w:val="both"/>
        <w:rPr>
          <w:rFonts w:ascii="Arial" w:eastAsia="Times New Roman" w:hAnsi="Arial" w:cs="Arial"/>
          <w:lang w:val="es-MX" w:eastAsia="es-ES"/>
        </w:rPr>
      </w:pPr>
    </w:p>
    <w:p w:rsidR="00A522D7" w:rsidRPr="00221D0E" w:rsidRDefault="00A522D7" w:rsidP="00DA29AF">
      <w:pPr>
        <w:pStyle w:val="Prrafodelista"/>
        <w:numPr>
          <w:ilvl w:val="0"/>
          <w:numId w:val="6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Ejecución física y financiera de los fideicomisos; </w:t>
      </w:r>
    </w:p>
    <w:p w:rsidR="00DA29AF" w:rsidRPr="00221D0E" w:rsidRDefault="00DA29AF" w:rsidP="00DA29AF">
      <w:pPr>
        <w:pStyle w:val="Prrafodelista"/>
        <w:ind w:left="1080"/>
        <w:jc w:val="both"/>
        <w:rPr>
          <w:rFonts w:ascii="Arial" w:eastAsia="Times New Roman" w:hAnsi="Arial" w:cs="Arial"/>
          <w:lang w:val="es-MX" w:eastAsia="es-ES"/>
        </w:rPr>
      </w:pPr>
    </w:p>
    <w:p w:rsidR="00DA29AF" w:rsidRPr="00221D0E" w:rsidRDefault="00DA29AF" w:rsidP="00DA29AF">
      <w:pPr>
        <w:pStyle w:val="Prrafodelista"/>
        <w:numPr>
          <w:ilvl w:val="0"/>
          <w:numId w:val="6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Detalle de las adquisiciones, así como las contrataciones de bienes, servicios u obras realizadas con fondos del fideicomiso, y las obligaciones y compromisos financieros que están pendientes de pago y/o regularización al cierre de cada cuatrimestre;</w:t>
      </w:r>
    </w:p>
    <w:p w:rsidR="00DA29AF" w:rsidRPr="00221D0E" w:rsidRDefault="00DA29AF" w:rsidP="00DA29AF">
      <w:pPr>
        <w:pStyle w:val="Prrafodelista"/>
        <w:rPr>
          <w:rFonts w:ascii="Arial" w:eastAsia="Times New Roman" w:hAnsi="Arial" w:cs="Arial"/>
          <w:lang w:val="es-MX" w:eastAsia="es-ES"/>
        </w:rPr>
      </w:pPr>
    </w:p>
    <w:p w:rsidR="00DA29AF" w:rsidRPr="00221D0E" w:rsidRDefault="00DA29AF" w:rsidP="00DA29AF">
      <w:pPr>
        <w:pStyle w:val="Prrafodelista"/>
        <w:numPr>
          <w:ilvl w:val="0"/>
          <w:numId w:val="6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En el caso de los fideicomisos crediticios, un informe de la situación detallada de la cartera;</w:t>
      </w:r>
    </w:p>
    <w:p w:rsidR="00DA29AF" w:rsidRPr="00221D0E" w:rsidRDefault="00DA29AF" w:rsidP="00DA29AF">
      <w:pPr>
        <w:jc w:val="both"/>
        <w:rPr>
          <w:rFonts w:ascii="Arial" w:eastAsia="Times New Roman" w:hAnsi="Arial" w:cs="Arial"/>
          <w:lang w:val="es-MX" w:eastAsia="es-ES"/>
        </w:rPr>
      </w:pPr>
    </w:p>
    <w:p w:rsidR="00DA29AF" w:rsidRPr="00221D0E" w:rsidRDefault="00DA29AF" w:rsidP="00DA29AF">
      <w:pPr>
        <w:pStyle w:val="Prrafodelista"/>
        <w:numPr>
          <w:ilvl w:val="0"/>
          <w:numId w:val="6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Documento narrativo sobre el cumplimiento de metas y calidad del gasto en el período de que se trate; </w:t>
      </w:r>
    </w:p>
    <w:p w:rsidR="00DA29AF" w:rsidRPr="00221D0E" w:rsidRDefault="00DA29AF" w:rsidP="00DA29AF">
      <w:pPr>
        <w:pStyle w:val="Prrafodelista"/>
        <w:ind w:left="1080"/>
        <w:jc w:val="both"/>
        <w:rPr>
          <w:rFonts w:ascii="Arial" w:eastAsia="Times New Roman" w:hAnsi="Arial" w:cs="Arial"/>
          <w:lang w:val="es-MX" w:eastAsia="es-ES"/>
        </w:rPr>
      </w:pPr>
    </w:p>
    <w:p w:rsidR="00DA29AF" w:rsidRPr="00221D0E" w:rsidRDefault="00DA29AF" w:rsidP="00DA29AF">
      <w:pPr>
        <w:pStyle w:val="Prrafodelista"/>
        <w:numPr>
          <w:ilvl w:val="0"/>
          <w:numId w:val="6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Publicar dichos informes y los estados financieros en sus portales web. </w:t>
      </w:r>
    </w:p>
    <w:p w:rsidR="00A522D7" w:rsidRPr="00221D0E" w:rsidRDefault="00A522D7" w:rsidP="00A522D7">
      <w:pPr>
        <w:ind w:left="360"/>
        <w:jc w:val="both"/>
        <w:rPr>
          <w:rFonts w:ascii="Arial" w:eastAsia="Times New Roman" w:hAnsi="Arial" w:cs="Arial"/>
          <w:lang w:val="es-MX" w:eastAsia="es-ES"/>
        </w:rPr>
      </w:pPr>
    </w:p>
    <w:p w:rsidR="000036B3" w:rsidRPr="00221D0E" w:rsidRDefault="00A522D7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Publicar los informes cuatrimestrales a los que se refiere la literal anterior y los estados financieros, en el portal web de la entidad responsable. </w:t>
      </w:r>
    </w:p>
    <w:p w:rsidR="00DA29AF" w:rsidRPr="00221D0E" w:rsidRDefault="00DA29AF" w:rsidP="00DA29AF">
      <w:pPr>
        <w:pStyle w:val="Prrafodelista"/>
        <w:ind w:left="1440"/>
        <w:jc w:val="both"/>
        <w:rPr>
          <w:rFonts w:ascii="Arial" w:eastAsia="Times New Roman" w:hAnsi="Arial" w:cs="Arial"/>
          <w:lang w:val="es-MX" w:eastAsia="es-ES"/>
        </w:rPr>
      </w:pPr>
    </w:p>
    <w:p w:rsidR="000036B3" w:rsidRPr="00221D0E" w:rsidRDefault="00DA29AF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La Dirección de Fideicomisos p</w:t>
      </w:r>
      <w:r w:rsidR="00A522D7" w:rsidRPr="00221D0E">
        <w:rPr>
          <w:rFonts w:ascii="Arial" w:eastAsia="Times New Roman" w:hAnsi="Arial" w:cs="Arial"/>
          <w:lang w:val="es-MX" w:eastAsia="es-ES"/>
        </w:rPr>
        <w:t>ublicará la información consolidada, en el portal web del Ministerio de Finanzas Públicas</w:t>
      </w:r>
      <w:r w:rsidRPr="00221D0E">
        <w:rPr>
          <w:rFonts w:ascii="Arial" w:eastAsia="Times New Roman" w:hAnsi="Arial" w:cs="Arial"/>
          <w:lang w:val="es-MX" w:eastAsia="es-ES"/>
        </w:rPr>
        <w:t>,</w:t>
      </w:r>
      <w:r w:rsidR="00A522D7" w:rsidRPr="00221D0E">
        <w:rPr>
          <w:rFonts w:ascii="Arial" w:eastAsia="Times New Roman" w:hAnsi="Arial" w:cs="Arial"/>
          <w:lang w:val="es-MX" w:eastAsia="es-ES"/>
        </w:rPr>
        <w:t xml:space="preserve"> </w:t>
      </w:r>
      <w:r w:rsidRPr="00221D0E">
        <w:rPr>
          <w:rFonts w:ascii="Arial" w:eastAsia="Times New Roman" w:hAnsi="Arial" w:cs="Arial"/>
          <w:lang w:val="es-MX" w:eastAsia="es-ES"/>
        </w:rPr>
        <w:t>c</w:t>
      </w:r>
      <w:r w:rsidR="000036B3" w:rsidRPr="00221D0E">
        <w:rPr>
          <w:rFonts w:ascii="Arial" w:eastAsia="Times New Roman" w:hAnsi="Arial" w:cs="Arial"/>
          <w:lang w:val="es-MX" w:eastAsia="es-ES"/>
        </w:rPr>
        <w:t>on base en la información que le remitan los entes responsables</w:t>
      </w:r>
      <w:r w:rsidR="00A522D7" w:rsidRPr="00221D0E">
        <w:rPr>
          <w:rFonts w:ascii="Arial" w:eastAsia="Times New Roman" w:hAnsi="Arial" w:cs="Arial"/>
          <w:lang w:val="es-MX" w:eastAsia="es-ES"/>
        </w:rPr>
        <w:t>.</w:t>
      </w:r>
    </w:p>
    <w:p w:rsidR="00A522D7" w:rsidRPr="00221D0E" w:rsidRDefault="000036B3" w:rsidP="000036B3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Las publicaciones a que hacen referencia las literales c) y d) anteriores deberán realizarse dentro de los treinta (30) días hábiles siguientes al vencimiento del plazo de la obligación.</w:t>
      </w:r>
      <w:r w:rsidR="00A522D7" w:rsidRPr="00221D0E">
        <w:rPr>
          <w:rFonts w:ascii="Arial" w:eastAsia="Times New Roman" w:hAnsi="Arial" w:cs="Arial"/>
          <w:lang w:val="es-MX" w:eastAsia="es-ES"/>
        </w:rPr>
        <w:t xml:space="preserve"> </w:t>
      </w:r>
    </w:p>
    <w:p w:rsidR="00A522D7" w:rsidRPr="00221D0E" w:rsidRDefault="00A522D7" w:rsidP="00A522D7">
      <w:pPr>
        <w:pStyle w:val="Prrafodelista"/>
        <w:ind w:left="1440"/>
        <w:jc w:val="both"/>
        <w:rPr>
          <w:rFonts w:ascii="Arial" w:eastAsia="Times New Roman" w:hAnsi="Arial" w:cs="Arial"/>
          <w:lang w:val="es-MX" w:eastAsia="es-ES"/>
        </w:rPr>
      </w:pPr>
    </w:p>
    <w:p w:rsidR="000036B3" w:rsidRPr="00221D0E" w:rsidRDefault="00A522D7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Requerir al fiduciario y poner a disposición </w:t>
      </w:r>
      <w:r w:rsidR="002A6F2B" w:rsidRPr="00221D0E">
        <w:rPr>
          <w:rFonts w:ascii="Arial" w:eastAsia="Times New Roman" w:hAnsi="Arial" w:cs="Arial"/>
          <w:lang w:val="es-MX" w:eastAsia="es-ES"/>
        </w:rPr>
        <w:t xml:space="preserve">de la Dirección de Contabilidad </w:t>
      </w:r>
      <w:r w:rsidRPr="00221D0E">
        <w:rPr>
          <w:rFonts w:ascii="Arial" w:eastAsia="Times New Roman" w:hAnsi="Arial" w:cs="Arial"/>
          <w:lang w:val="es-MX" w:eastAsia="es-ES"/>
        </w:rPr>
        <w:t xml:space="preserve">del Estado, Dirección Financiera y otras dependencias del Ministerio de Finanzas Públicas que lo requieran, la documentación de respaldo de las operaciones financieras, contables y de cartera efectuadas por el fideicomiso, para los efectos que corresponda según la normativa específica vigente. </w:t>
      </w:r>
    </w:p>
    <w:p w:rsidR="000036B3" w:rsidRPr="00221D0E" w:rsidRDefault="000036B3" w:rsidP="000036B3">
      <w:pPr>
        <w:pStyle w:val="Prrafodelista"/>
        <w:rPr>
          <w:rFonts w:ascii="Arial" w:eastAsia="Times New Roman" w:hAnsi="Arial" w:cs="Arial"/>
          <w:lang w:val="es-MX" w:eastAsia="es-ES"/>
        </w:rPr>
      </w:pPr>
    </w:p>
    <w:p w:rsidR="00A522D7" w:rsidRPr="00221D0E" w:rsidRDefault="002A6F2B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Se exceptúan de l</w:t>
      </w:r>
      <w:r w:rsidR="00A522D7" w:rsidRPr="00221D0E">
        <w:rPr>
          <w:rFonts w:ascii="Arial" w:eastAsia="Times New Roman" w:hAnsi="Arial" w:cs="Arial"/>
          <w:lang w:val="es-MX" w:eastAsia="es-ES"/>
        </w:rPr>
        <w:t>a obligación</w:t>
      </w:r>
      <w:r w:rsidR="000036B3" w:rsidRPr="00221D0E">
        <w:rPr>
          <w:rFonts w:ascii="Arial" w:eastAsia="Times New Roman" w:hAnsi="Arial" w:cs="Arial"/>
          <w:lang w:val="es-MX" w:eastAsia="es-ES"/>
        </w:rPr>
        <w:t xml:space="preserve"> establecida en la literal f) anterior</w:t>
      </w:r>
      <w:r w:rsidR="00A522D7" w:rsidRPr="00221D0E">
        <w:rPr>
          <w:rFonts w:ascii="Arial" w:eastAsia="Times New Roman" w:hAnsi="Arial" w:cs="Arial"/>
          <w:lang w:val="es-MX" w:eastAsia="es-ES"/>
        </w:rPr>
        <w:t>, los aportes que por di</w:t>
      </w:r>
      <w:r w:rsidRPr="00221D0E">
        <w:rPr>
          <w:rFonts w:ascii="Arial" w:eastAsia="Times New Roman" w:hAnsi="Arial" w:cs="Arial"/>
          <w:lang w:val="es-MX" w:eastAsia="es-ES"/>
        </w:rPr>
        <w:t>sposición legal se reciban del P</w:t>
      </w:r>
      <w:r w:rsidR="00A522D7" w:rsidRPr="00221D0E">
        <w:rPr>
          <w:rFonts w:ascii="Arial" w:eastAsia="Times New Roman" w:hAnsi="Arial" w:cs="Arial"/>
          <w:lang w:val="es-MX" w:eastAsia="es-ES"/>
        </w:rPr>
        <w:t xml:space="preserve">resupuesto General de Ingresos y Egresos del Estado en calidad de transferencia. </w:t>
      </w:r>
    </w:p>
    <w:p w:rsidR="00A522D7" w:rsidRPr="00221D0E" w:rsidRDefault="00A522D7" w:rsidP="00A522D7">
      <w:pPr>
        <w:pStyle w:val="Prrafodelista"/>
        <w:rPr>
          <w:rFonts w:ascii="Arial" w:eastAsia="Times New Roman" w:hAnsi="Arial" w:cs="Arial"/>
          <w:lang w:val="es-MX" w:eastAsia="es-ES"/>
        </w:rPr>
      </w:pPr>
    </w:p>
    <w:p w:rsidR="00A522D7" w:rsidRPr="00221D0E" w:rsidRDefault="00A522D7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lastRenderedPageBreak/>
        <w:t>Registrar</w:t>
      </w:r>
      <w:r w:rsidR="002A6F2B" w:rsidRPr="00221D0E">
        <w:rPr>
          <w:rFonts w:ascii="Arial" w:eastAsia="Times New Roman" w:hAnsi="Arial" w:cs="Arial"/>
          <w:lang w:val="es-MX" w:eastAsia="es-ES"/>
        </w:rPr>
        <w:t>,</w:t>
      </w:r>
      <w:r w:rsidRPr="00221D0E">
        <w:rPr>
          <w:rFonts w:ascii="Arial" w:eastAsia="Times New Roman" w:hAnsi="Arial" w:cs="Arial"/>
          <w:lang w:val="es-MX" w:eastAsia="es-ES"/>
        </w:rPr>
        <w:t xml:space="preserve"> cuando corresponda, la información relativa</w:t>
      </w:r>
      <w:r w:rsidR="002A6F2B" w:rsidRPr="00221D0E">
        <w:rPr>
          <w:rFonts w:ascii="Arial" w:eastAsia="Times New Roman" w:hAnsi="Arial" w:cs="Arial"/>
          <w:lang w:val="es-MX" w:eastAsia="es-ES"/>
        </w:rPr>
        <w:t xml:space="preserve"> a </w:t>
      </w:r>
      <w:r w:rsidRPr="00221D0E">
        <w:rPr>
          <w:rFonts w:ascii="Arial" w:eastAsia="Times New Roman" w:hAnsi="Arial" w:cs="Arial"/>
          <w:lang w:val="es-MX" w:eastAsia="es-ES"/>
        </w:rPr>
        <w:t>los proyectos de inversión y su avance físico y financiero en el Sistema de Información de Inversión Pública (SNIP), conforme a la legislación y normativa vigente.</w:t>
      </w:r>
    </w:p>
    <w:p w:rsidR="00A522D7" w:rsidRPr="00221D0E" w:rsidRDefault="00A522D7" w:rsidP="00A522D7">
      <w:pPr>
        <w:jc w:val="both"/>
        <w:rPr>
          <w:rFonts w:ascii="Arial" w:eastAsia="Times New Roman" w:hAnsi="Arial" w:cs="Arial"/>
          <w:b/>
          <w:lang w:val="es-MX" w:eastAsia="es-ES"/>
        </w:rPr>
      </w:pPr>
    </w:p>
    <w:p w:rsidR="00A522D7" w:rsidRPr="00221D0E" w:rsidRDefault="00184D84" w:rsidP="00A522D7">
      <w:pPr>
        <w:jc w:val="both"/>
        <w:rPr>
          <w:rFonts w:ascii="Arial" w:eastAsia="Times New Roman" w:hAnsi="Arial" w:cs="Arial"/>
          <w:b/>
          <w:lang w:val="es-MX" w:eastAsia="es-ES"/>
        </w:rPr>
      </w:pPr>
      <w:r w:rsidRPr="00221D0E">
        <w:rPr>
          <w:rFonts w:ascii="Arial" w:eastAsia="Times New Roman" w:hAnsi="Arial" w:cs="Arial"/>
          <w:b/>
          <w:lang w:val="es-MX" w:eastAsia="es-ES"/>
        </w:rPr>
        <w:t xml:space="preserve">“Conforme a su naturaleza coordinadora, competencia y objeto, la Secretaría de Asuntos Administrativo y de Seguridad de la Presidencia de la República de </w:t>
      </w:r>
      <w:r w:rsidR="00ED1419" w:rsidRPr="00221D0E">
        <w:rPr>
          <w:rFonts w:ascii="Arial" w:eastAsia="Times New Roman" w:hAnsi="Arial" w:cs="Arial"/>
          <w:b/>
          <w:lang w:val="es-MX" w:eastAsia="es-ES"/>
        </w:rPr>
        <w:t>Guatemala, hace</w:t>
      </w:r>
      <w:r w:rsidR="00A522D7" w:rsidRPr="00221D0E">
        <w:rPr>
          <w:rFonts w:ascii="Arial" w:eastAsia="Times New Roman" w:hAnsi="Arial" w:cs="Arial"/>
          <w:b/>
          <w:lang w:val="es-MX" w:eastAsia="es-ES"/>
        </w:rPr>
        <w:t xml:space="preserve"> saber que dentro del Sistema de Contabilidad Integrada SICOIN, no maneja fondos en fideicomisos constituidos con recursos del Estado</w:t>
      </w:r>
      <w:r w:rsidR="00A522D7" w:rsidRPr="00221D0E">
        <w:rPr>
          <w:rFonts w:ascii="Arial" w:eastAsia="Times New Roman" w:hAnsi="Arial" w:cs="Arial"/>
          <w:lang w:val="es-MX" w:eastAsia="es-ES"/>
        </w:rPr>
        <w:t xml:space="preserve">. </w:t>
      </w:r>
    </w:p>
    <w:p w:rsidR="00A522D7" w:rsidRPr="00221D0E" w:rsidRDefault="00A522D7" w:rsidP="00A522D7">
      <w:pPr>
        <w:jc w:val="both"/>
        <w:rPr>
          <w:rFonts w:ascii="Arial" w:eastAsia="Times New Roman" w:hAnsi="Arial" w:cs="Arial"/>
          <w:lang w:val="es-MX" w:eastAsia="es-ES"/>
        </w:rPr>
      </w:pPr>
    </w:p>
    <w:p w:rsidR="00A522D7" w:rsidRPr="00221D0E" w:rsidRDefault="00A522D7" w:rsidP="00A522D7">
      <w:pPr>
        <w:jc w:val="both"/>
        <w:rPr>
          <w:rFonts w:ascii="Arial" w:eastAsia="Times New Roman" w:hAnsi="Arial" w:cs="Arial"/>
          <w:lang w:val="es-MX" w:eastAsia="es-ES"/>
        </w:rPr>
      </w:pPr>
    </w:p>
    <w:p w:rsidR="002A6F2B" w:rsidRPr="00221D0E" w:rsidRDefault="00890B68" w:rsidP="00D451B0">
      <w:pPr>
        <w:jc w:val="right"/>
        <w:rPr>
          <w:rFonts w:ascii="Arial" w:hAnsi="Arial" w:cs="Arial"/>
          <w:b/>
          <w:lang w:val="es-MX"/>
        </w:rPr>
      </w:pPr>
      <w:r w:rsidRPr="00221D0E">
        <w:rPr>
          <w:rFonts w:ascii="Arial" w:hAnsi="Arial" w:cs="Arial"/>
          <w:b/>
          <w:lang w:val="es-MX"/>
        </w:rPr>
        <w:t xml:space="preserve">Guatemala, </w:t>
      </w:r>
      <w:r w:rsidR="00FD66D0">
        <w:rPr>
          <w:rFonts w:ascii="Arial" w:hAnsi="Arial" w:cs="Arial"/>
          <w:b/>
          <w:lang w:val="es-MX"/>
        </w:rPr>
        <w:t>febrero</w:t>
      </w:r>
      <w:r w:rsidR="00A522D7" w:rsidRPr="00221D0E">
        <w:rPr>
          <w:rFonts w:ascii="Arial" w:hAnsi="Arial" w:cs="Arial"/>
          <w:b/>
          <w:lang w:val="es-MX"/>
        </w:rPr>
        <w:t xml:space="preserve"> de 202</w:t>
      </w:r>
      <w:r w:rsidR="00FD66D0">
        <w:rPr>
          <w:rFonts w:ascii="Arial" w:hAnsi="Arial" w:cs="Arial"/>
          <w:b/>
          <w:lang w:val="es-MX"/>
        </w:rPr>
        <w:t>4.</w:t>
      </w:r>
    </w:p>
    <w:p w:rsidR="002A6F2B" w:rsidRPr="00221D0E" w:rsidRDefault="002A6F2B" w:rsidP="002A6F2B">
      <w:pPr>
        <w:rPr>
          <w:rFonts w:ascii="Arial" w:hAnsi="Arial" w:cs="Arial"/>
          <w:lang w:val="es-MX"/>
        </w:rPr>
      </w:pPr>
    </w:p>
    <w:p w:rsidR="002A6F2B" w:rsidRPr="00221D0E" w:rsidRDefault="002A6F2B" w:rsidP="002A6F2B">
      <w:pPr>
        <w:rPr>
          <w:rFonts w:ascii="Arial" w:hAnsi="Arial" w:cs="Arial"/>
          <w:lang w:val="es-MX"/>
        </w:rPr>
      </w:pPr>
    </w:p>
    <w:p w:rsidR="002A6F2B" w:rsidRPr="002A6F2B" w:rsidRDefault="002A6F2B" w:rsidP="002A6F2B">
      <w:pPr>
        <w:rPr>
          <w:rFonts w:ascii="Arial" w:hAnsi="Arial" w:cs="Arial"/>
          <w:sz w:val="26"/>
          <w:szCs w:val="26"/>
          <w:lang w:val="es-MX"/>
        </w:rPr>
      </w:pPr>
    </w:p>
    <w:p w:rsidR="002A6F2B" w:rsidRPr="002A6F2B" w:rsidRDefault="002A6F2B" w:rsidP="002A6F2B">
      <w:pPr>
        <w:rPr>
          <w:rFonts w:ascii="Arial" w:hAnsi="Arial" w:cs="Arial"/>
          <w:sz w:val="26"/>
          <w:szCs w:val="26"/>
          <w:lang w:val="es-MX"/>
        </w:rPr>
      </w:pPr>
    </w:p>
    <w:p w:rsidR="002A6F2B" w:rsidRPr="002A6F2B" w:rsidRDefault="002A6F2B" w:rsidP="002A6F2B">
      <w:pPr>
        <w:rPr>
          <w:rFonts w:ascii="Arial" w:hAnsi="Arial" w:cs="Arial"/>
          <w:sz w:val="26"/>
          <w:szCs w:val="26"/>
          <w:lang w:val="es-MX"/>
        </w:rPr>
      </w:pPr>
    </w:p>
    <w:p w:rsidR="002A6F2B" w:rsidRPr="002A6F2B" w:rsidRDefault="002A6F2B" w:rsidP="002A6F2B">
      <w:pPr>
        <w:rPr>
          <w:rFonts w:ascii="Arial" w:hAnsi="Arial" w:cs="Arial"/>
          <w:sz w:val="26"/>
          <w:szCs w:val="26"/>
          <w:lang w:val="es-MX"/>
        </w:rPr>
      </w:pPr>
    </w:p>
    <w:p w:rsidR="002A6F2B" w:rsidRPr="002A6F2B" w:rsidRDefault="002A6F2B" w:rsidP="002A6F2B">
      <w:pPr>
        <w:rPr>
          <w:rFonts w:ascii="Arial" w:hAnsi="Arial" w:cs="Arial"/>
          <w:sz w:val="26"/>
          <w:szCs w:val="26"/>
          <w:lang w:val="es-MX"/>
        </w:rPr>
      </w:pPr>
    </w:p>
    <w:p w:rsidR="002A6F2B" w:rsidRPr="002A6F2B" w:rsidRDefault="002A6F2B" w:rsidP="002A6F2B">
      <w:pPr>
        <w:rPr>
          <w:rFonts w:ascii="Arial" w:hAnsi="Arial" w:cs="Arial"/>
          <w:sz w:val="26"/>
          <w:szCs w:val="26"/>
          <w:lang w:val="es-MX"/>
        </w:rPr>
      </w:pPr>
    </w:p>
    <w:p w:rsidR="00221D0E" w:rsidRDefault="002A6F2B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  <w:r>
        <w:rPr>
          <w:rFonts w:ascii="Arial" w:hAnsi="Arial" w:cs="Arial"/>
          <w:sz w:val="26"/>
          <w:szCs w:val="26"/>
          <w:lang w:val="es-MX"/>
        </w:rPr>
        <w:tab/>
      </w: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tabs>
          <w:tab w:val="left" w:pos="7380"/>
        </w:tabs>
        <w:rPr>
          <w:rFonts w:ascii="Arial" w:hAnsi="Arial" w:cs="Arial"/>
          <w:sz w:val="26"/>
          <w:szCs w:val="26"/>
          <w:lang w:val="es-MX"/>
        </w:rPr>
      </w:pPr>
      <w:r>
        <w:rPr>
          <w:rFonts w:ascii="Arial" w:hAnsi="Arial" w:cs="Arial"/>
          <w:sz w:val="26"/>
          <w:szCs w:val="26"/>
          <w:lang w:val="es-MX"/>
        </w:rPr>
        <w:tab/>
      </w: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sectPr w:rsidR="00221D0E" w:rsidSect="00500E38">
      <w:headerReference w:type="default" r:id="rId7"/>
      <w:footerReference w:type="default" r:id="rId8"/>
      <w:pgSz w:w="12240" w:h="15840"/>
      <w:pgMar w:top="218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AE0" w:rsidRDefault="00866AE0" w:rsidP="005B1EDE">
      <w:r>
        <w:separator/>
      </w:r>
    </w:p>
  </w:endnote>
  <w:endnote w:type="continuationSeparator" w:id="0">
    <w:p w:rsidR="00866AE0" w:rsidRDefault="00866AE0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b/>
        <w:sz w:val="20"/>
        <w:szCs w:val="20"/>
      </w:rPr>
      <w:id w:val="-9839400"/>
      <w:docPartObj>
        <w:docPartGallery w:val="Page Numbers (Bottom of Page)"/>
        <w:docPartUnique/>
      </w:docPartObj>
    </w:sdtPr>
    <w:sdtEndPr/>
    <w:sdtContent>
      <w:p w:rsidR="00416355" w:rsidRPr="00255ED3" w:rsidRDefault="00416355" w:rsidP="00416355">
        <w:pPr>
          <w:pStyle w:val="Piedepgina"/>
          <w:jc w:val="right"/>
          <w:rPr>
            <w:rFonts w:ascii="Arial" w:hAnsi="Arial" w:cs="Arial"/>
            <w:b/>
            <w:sz w:val="20"/>
            <w:szCs w:val="20"/>
          </w:rPr>
        </w:pPr>
        <w:r w:rsidRPr="00255ED3">
          <w:rPr>
            <w:rFonts w:ascii="Arial" w:hAnsi="Arial" w:cs="Arial"/>
            <w:b/>
            <w:sz w:val="20"/>
            <w:szCs w:val="20"/>
          </w:rPr>
          <w:t xml:space="preserve">Página </w:t>
        </w:r>
        <w:r w:rsidRPr="00255ED3">
          <w:rPr>
            <w:rFonts w:ascii="Arial" w:hAnsi="Arial" w:cs="Arial"/>
            <w:b/>
            <w:sz w:val="20"/>
            <w:szCs w:val="20"/>
          </w:rPr>
          <w:fldChar w:fldCharType="begin"/>
        </w:r>
        <w:r w:rsidRPr="00255ED3">
          <w:rPr>
            <w:rFonts w:ascii="Arial" w:hAnsi="Arial" w:cs="Arial"/>
            <w:b/>
            <w:sz w:val="20"/>
            <w:szCs w:val="20"/>
          </w:rPr>
          <w:instrText>PAGE   \* MERGEFORMAT</w:instrText>
        </w:r>
        <w:r w:rsidRPr="00255ED3">
          <w:rPr>
            <w:rFonts w:ascii="Arial" w:hAnsi="Arial" w:cs="Arial"/>
            <w:b/>
            <w:sz w:val="20"/>
            <w:szCs w:val="20"/>
          </w:rPr>
          <w:fldChar w:fldCharType="separate"/>
        </w:r>
        <w:r w:rsidR="00FD4445" w:rsidRPr="00FD4445">
          <w:rPr>
            <w:rFonts w:ascii="Arial" w:hAnsi="Arial" w:cs="Arial"/>
            <w:b/>
            <w:noProof/>
            <w:sz w:val="20"/>
            <w:szCs w:val="20"/>
            <w:lang w:val="es-ES"/>
          </w:rPr>
          <w:t>1</w:t>
        </w:r>
        <w:r w:rsidRPr="00255ED3">
          <w:rPr>
            <w:rFonts w:ascii="Arial" w:hAnsi="Arial" w:cs="Arial"/>
            <w:b/>
            <w:sz w:val="20"/>
            <w:szCs w:val="20"/>
          </w:rPr>
          <w:fldChar w:fldCharType="end"/>
        </w:r>
        <w:r w:rsidRPr="00255ED3">
          <w:rPr>
            <w:rFonts w:ascii="Arial" w:hAnsi="Arial" w:cs="Arial"/>
            <w:b/>
            <w:sz w:val="20"/>
            <w:szCs w:val="20"/>
          </w:rPr>
          <w:t xml:space="preserve"> de 3</w:t>
        </w:r>
      </w:p>
      <w:p w:rsidR="00255ED3" w:rsidRDefault="00416355" w:rsidP="00416355">
        <w:pPr>
          <w:pStyle w:val="Piedepgina"/>
          <w:jc w:val="right"/>
          <w:rPr>
            <w:rFonts w:ascii="Arial" w:hAnsi="Arial" w:cs="Arial"/>
            <w:b/>
            <w:sz w:val="20"/>
            <w:szCs w:val="20"/>
          </w:rPr>
        </w:pPr>
        <w:r w:rsidRPr="00255ED3">
          <w:rPr>
            <w:rFonts w:ascii="Arial" w:hAnsi="Arial" w:cs="Arial"/>
            <w:b/>
            <w:sz w:val="20"/>
            <w:szCs w:val="20"/>
          </w:rPr>
          <w:t>DEPART</w:t>
        </w:r>
        <w:r w:rsidR="00255ED3">
          <w:rPr>
            <w:rFonts w:ascii="Arial" w:hAnsi="Arial" w:cs="Arial"/>
            <w:b/>
            <w:sz w:val="20"/>
            <w:szCs w:val="20"/>
          </w:rPr>
          <w:t>AMENTO DE PRESUPUESTO</w:t>
        </w:r>
      </w:p>
      <w:p w:rsidR="00416355" w:rsidRPr="00255ED3" w:rsidRDefault="00416355" w:rsidP="00416355">
        <w:pPr>
          <w:pStyle w:val="Piedepgina"/>
          <w:jc w:val="right"/>
          <w:rPr>
            <w:rFonts w:ascii="Arial" w:hAnsi="Arial" w:cs="Arial"/>
            <w:b/>
            <w:sz w:val="20"/>
            <w:szCs w:val="20"/>
          </w:rPr>
        </w:pPr>
        <w:r w:rsidRPr="00255ED3">
          <w:rPr>
            <w:rFonts w:ascii="Arial" w:hAnsi="Arial" w:cs="Arial"/>
            <w:b/>
            <w:sz w:val="20"/>
            <w:szCs w:val="20"/>
          </w:rPr>
          <w:t>IEGM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AE0" w:rsidRDefault="00866AE0" w:rsidP="005B1EDE">
      <w:r>
        <w:separator/>
      </w:r>
    </w:p>
  </w:footnote>
  <w:footnote w:type="continuationSeparator" w:id="0">
    <w:p w:rsidR="00866AE0" w:rsidRDefault="00866AE0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352" w:rsidRDefault="00FD66D0" w:rsidP="003A0352">
    <w:pPr>
      <w:pStyle w:val="Encabezado"/>
      <w:tabs>
        <w:tab w:val="clear" w:pos="4419"/>
        <w:tab w:val="left" w:pos="4335"/>
      </w:tabs>
      <w:rPr>
        <w:lang w:val="es-GT"/>
      </w:rPr>
    </w:pPr>
    <w:r>
      <w:rPr>
        <w:noProof/>
        <w:lang w:val="es-GT" w:eastAsia="es-GT"/>
      </w:rPr>
      <w:drawing>
        <wp:anchor distT="0" distB="0" distL="114300" distR="114300" simplePos="0" relativeHeight="251658240" behindDoc="1" locked="0" layoutInCell="1" allowOverlap="1" wp14:anchorId="64A71575" wp14:editId="78EF0F41">
          <wp:simplePos x="0" y="0"/>
          <wp:positionH relativeFrom="margin">
            <wp:posOffset>4173855</wp:posOffset>
          </wp:positionH>
          <wp:positionV relativeFrom="paragraph">
            <wp:posOffset>-240665</wp:posOffset>
          </wp:positionV>
          <wp:extent cx="1514475" cy="971550"/>
          <wp:effectExtent l="0" t="0" r="9525" b="0"/>
          <wp:wrapNone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GT" w:eastAsia="es-GT"/>
      </w:rPr>
      <w:drawing>
        <wp:anchor distT="0" distB="0" distL="114300" distR="114300" simplePos="0" relativeHeight="251660288" behindDoc="0" locked="0" layoutInCell="1" allowOverlap="1" wp14:anchorId="6D558B94" wp14:editId="05D8AE65">
          <wp:simplePos x="0" y="0"/>
          <wp:positionH relativeFrom="margin">
            <wp:align>left</wp:align>
          </wp:positionH>
          <wp:positionV relativeFrom="paragraph">
            <wp:posOffset>-181610</wp:posOffset>
          </wp:positionV>
          <wp:extent cx="2209800" cy="848995"/>
          <wp:effectExtent l="0" t="0" r="0" b="8255"/>
          <wp:wrapThrough wrapText="bothSides">
            <wp:wrapPolygon edited="0">
              <wp:start x="0" y="0"/>
              <wp:lineTo x="0" y="21325"/>
              <wp:lineTo x="21414" y="21325"/>
              <wp:lineTo x="21414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4"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48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0352">
      <w:tab/>
    </w:r>
  </w:p>
  <w:p w:rsidR="00CC082E" w:rsidRDefault="00CC082E" w:rsidP="00CC082E">
    <w:pPr>
      <w:pStyle w:val="Encabezado"/>
      <w:rPr>
        <w:lang w:val="es-GT"/>
      </w:rPr>
    </w:pPr>
  </w:p>
  <w:p w:rsidR="005B1EDE" w:rsidRPr="00CC082E" w:rsidRDefault="005B1EDE" w:rsidP="00CC082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040AF"/>
    <w:multiLevelType w:val="hybridMultilevel"/>
    <w:tmpl w:val="3138BA0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A0017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54CAA"/>
    <w:multiLevelType w:val="hybridMultilevel"/>
    <w:tmpl w:val="9A5C355E"/>
    <w:lvl w:ilvl="0" w:tplc="173E2EA2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81023"/>
    <w:multiLevelType w:val="hybridMultilevel"/>
    <w:tmpl w:val="A380DA4E"/>
    <w:lvl w:ilvl="0" w:tplc="100A0019">
      <w:start w:val="1"/>
      <w:numFmt w:val="lowerLetter"/>
      <w:lvlText w:val="%1."/>
      <w:lvlJc w:val="left"/>
      <w:pPr>
        <w:ind w:left="1080" w:hanging="360"/>
      </w:p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3E4F84"/>
    <w:multiLevelType w:val="hybridMultilevel"/>
    <w:tmpl w:val="864800D6"/>
    <w:lvl w:ilvl="0" w:tplc="425E5E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F0C3E"/>
    <w:multiLevelType w:val="hybridMultilevel"/>
    <w:tmpl w:val="46D4BC7E"/>
    <w:lvl w:ilvl="0" w:tplc="100A0019">
      <w:start w:val="9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788" w:hanging="360"/>
      </w:pPr>
    </w:lvl>
    <w:lvl w:ilvl="2" w:tplc="100A001B" w:tentative="1">
      <w:start w:val="1"/>
      <w:numFmt w:val="lowerRoman"/>
      <w:lvlText w:val="%3."/>
      <w:lvlJc w:val="right"/>
      <w:pPr>
        <w:ind w:left="2508" w:hanging="180"/>
      </w:pPr>
    </w:lvl>
    <w:lvl w:ilvl="3" w:tplc="100A000F" w:tentative="1">
      <w:start w:val="1"/>
      <w:numFmt w:val="decimal"/>
      <w:lvlText w:val="%4."/>
      <w:lvlJc w:val="left"/>
      <w:pPr>
        <w:ind w:left="3228" w:hanging="360"/>
      </w:pPr>
    </w:lvl>
    <w:lvl w:ilvl="4" w:tplc="100A0019" w:tentative="1">
      <w:start w:val="1"/>
      <w:numFmt w:val="lowerLetter"/>
      <w:lvlText w:val="%5."/>
      <w:lvlJc w:val="left"/>
      <w:pPr>
        <w:ind w:left="3948" w:hanging="360"/>
      </w:pPr>
    </w:lvl>
    <w:lvl w:ilvl="5" w:tplc="100A001B" w:tentative="1">
      <w:start w:val="1"/>
      <w:numFmt w:val="lowerRoman"/>
      <w:lvlText w:val="%6."/>
      <w:lvlJc w:val="right"/>
      <w:pPr>
        <w:ind w:left="4668" w:hanging="180"/>
      </w:pPr>
    </w:lvl>
    <w:lvl w:ilvl="6" w:tplc="100A000F" w:tentative="1">
      <w:start w:val="1"/>
      <w:numFmt w:val="decimal"/>
      <w:lvlText w:val="%7."/>
      <w:lvlJc w:val="left"/>
      <w:pPr>
        <w:ind w:left="5388" w:hanging="360"/>
      </w:pPr>
    </w:lvl>
    <w:lvl w:ilvl="7" w:tplc="100A0019" w:tentative="1">
      <w:start w:val="1"/>
      <w:numFmt w:val="lowerLetter"/>
      <w:lvlText w:val="%8."/>
      <w:lvlJc w:val="left"/>
      <w:pPr>
        <w:ind w:left="6108" w:hanging="360"/>
      </w:pPr>
    </w:lvl>
    <w:lvl w:ilvl="8" w:tplc="1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7706546"/>
    <w:multiLevelType w:val="hybridMultilevel"/>
    <w:tmpl w:val="E370FC7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DE"/>
    <w:rsid w:val="000036B3"/>
    <w:rsid w:val="00010E85"/>
    <w:rsid w:val="00027FD2"/>
    <w:rsid w:val="00044F88"/>
    <w:rsid w:val="000D7F56"/>
    <w:rsid w:val="00184D84"/>
    <w:rsid w:val="001A6C3D"/>
    <w:rsid w:val="001C1586"/>
    <w:rsid w:val="001D7C7F"/>
    <w:rsid w:val="001E191D"/>
    <w:rsid w:val="001F050D"/>
    <w:rsid w:val="00200E23"/>
    <w:rsid w:val="00221D0E"/>
    <w:rsid w:val="00233350"/>
    <w:rsid w:val="00233496"/>
    <w:rsid w:val="00255ED3"/>
    <w:rsid w:val="002A3C67"/>
    <w:rsid w:val="002A6F2B"/>
    <w:rsid w:val="002B5F23"/>
    <w:rsid w:val="002E3D46"/>
    <w:rsid w:val="002E7F58"/>
    <w:rsid w:val="00306555"/>
    <w:rsid w:val="00321701"/>
    <w:rsid w:val="00366C1A"/>
    <w:rsid w:val="00376631"/>
    <w:rsid w:val="00382C1D"/>
    <w:rsid w:val="003946C8"/>
    <w:rsid w:val="003A0352"/>
    <w:rsid w:val="003D3BFF"/>
    <w:rsid w:val="00403FF7"/>
    <w:rsid w:val="00416355"/>
    <w:rsid w:val="004B1A74"/>
    <w:rsid w:val="004C5A6F"/>
    <w:rsid w:val="00500E38"/>
    <w:rsid w:val="0051685F"/>
    <w:rsid w:val="005232ED"/>
    <w:rsid w:val="00537FDD"/>
    <w:rsid w:val="005A0F84"/>
    <w:rsid w:val="005A7885"/>
    <w:rsid w:val="005B0ED8"/>
    <w:rsid w:val="005B1EDE"/>
    <w:rsid w:val="005F7E69"/>
    <w:rsid w:val="006073DD"/>
    <w:rsid w:val="006466F9"/>
    <w:rsid w:val="0068289A"/>
    <w:rsid w:val="006D5AF7"/>
    <w:rsid w:val="006F497A"/>
    <w:rsid w:val="00730A44"/>
    <w:rsid w:val="007677DF"/>
    <w:rsid w:val="007A744E"/>
    <w:rsid w:val="007D2341"/>
    <w:rsid w:val="007D58E4"/>
    <w:rsid w:val="007E4B66"/>
    <w:rsid w:val="007F0B2B"/>
    <w:rsid w:val="007F0C21"/>
    <w:rsid w:val="00801937"/>
    <w:rsid w:val="00854A53"/>
    <w:rsid w:val="00866AE0"/>
    <w:rsid w:val="00867DF7"/>
    <w:rsid w:val="00890B68"/>
    <w:rsid w:val="0089769F"/>
    <w:rsid w:val="008A0885"/>
    <w:rsid w:val="008A6769"/>
    <w:rsid w:val="008B2E2F"/>
    <w:rsid w:val="0091562F"/>
    <w:rsid w:val="00953064"/>
    <w:rsid w:val="009919DF"/>
    <w:rsid w:val="009C6E97"/>
    <w:rsid w:val="00A26DF9"/>
    <w:rsid w:val="00A43DBF"/>
    <w:rsid w:val="00A4422D"/>
    <w:rsid w:val="00A522D7"/>
    <w:rsid w:val="00A65FA8"/>
    <w:rsid w:val="00A97FE7"/>
    <w:rsid w:val="00AB52D2"/>
    <w:rsid w:val="00AD7F4E"/>
    <w:rsid w:val="00BF2FEA"/>
    <w:rsid w:val="00BF4A05"/>
    <w:rsid w:val="00C61CA7"/>
    <w:rsid w:val="00C964E2"/>
    <w:rsid w:val="00CA5AD7"/>
    <w:rsid w:val="00CC082E"/>
    <w:rsid w:val="00D027FD"/>
    <w:rsid w:val="00D20ED3"/>
    <w:rsid w:val="00D41D91"/>
    <w:rsid w:val="00D42BF6"/>
    <w:rsid w:val="00D451B0"/>
    <w:rsid w:val="00D51AC2"/>
    <w:rsid w:val="00D820E1"/>
    <w:rsid w:val="00DA29AF"/>
    <w:rsid w:val="00E36F43"/>
    <w:rsid w:val="00E5651D"/>
    <w:rsid w:val="00E864F6"/>
    <w:rsid w:val="00EA46E6"/>
    <w:rsid w:val="00EB221C"/>
    <w:rsid w:val="00ED1419"/>
    <w:rsid w:val="00ED3DD7"/>
    <w:rsid w:val="00EF0037"/>
    <w:rsid w:val="00F13C6E"/>
    <w:rsid w:val="00F74D3C"/>
    <w:rsid w:val="00F9504E"/>
    <w:rsid w:val="00FC004C"/>
    <w:rsid w:val="00FC3E37"/>
    <w:rsid w:val="00FD1C2A"/>
    <w:rsid w:val="00FD4445"/>
    <w:rsid w:val="00FD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;"/>
  <w15:docId w15:val="{1D77F128-BC8D-4F2B-B025-06B6588E8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Prrafodelista">
    <w:name w:val="List Paragraph"/>
    <w:basedOn w:val="Normal"/>
    <w:uiPriority w:val="34"/>
    <w:qFormat/>
    <w:rsid w:val="001D7C7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37FD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7FDD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0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Ingrid E. Gonzalez</cp:lastModifiedBy>
  <cp:revision>2</cp:revision>
  <cp:lastPrinted>2023-09-01T18:24:00Z</cp:lastPrinted>
  <dcterms:created xsi:type="dcterms:W3CDTF">2024-03-01T21:58:00Z</dcterms:created>
  <dcterms:modified xsi:type="dcterms:W3CDTF">2024-03-01T21:58:00Z</dcterms:modified>
</cp:coreProperties>
</file>